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113"/>
        <w:gridCol w:w="4365"/>
      </w:tblGrid>
      <w:tr w:rsidR="00E0646A" w:rsidRPr="00C27BC4" w14:paraId="1A3A2BC5" w14:textId="77777777" w:rsidTr="00E0646A">
        <w:trPr>
          <w:trHeight w:val="446"/>
        </w:trPr>
        <w:tc>
          <w:tcPr>
            <w:tcW w:w="113" w:type="dxa"/>
            <w:tcBorders>
              <w:top w:val="nil"/>
              <w:left w:val="nil"/>
              <w:bottom w:val="nil"/>
              <w:right w:val="nil"/>
            </w:tcBorders>
            <w:shd w:val="clear" w:color="auto" w:fill="808080"/>
            <w:tcMar>
              <w:top w:w="28" w:type="dxa"/>
              <w:left w:w="28" w:type="dxa"/>
              <w:bottom w:w="28" w:type="dxa"/>
              <w:right w:w="28" w:type="dxa"/>
            </w:tcMar>
            <w:vAlign w:val="center"/>
            <w:hideMark/>
          </w:tcPr>
          <w:p w14:paraId="57E2462B" w14:textId="77777777" w:rsidR="00E0646A" w:rsidRPr="00E0646A" w:rsidRDefault="00E0646A" w:rsidP="00E0646A">
            <w:pPr>
              <w:spacing w:after="0" w:line="240" w:lineRule="auto"/>
              <w:rPr>
                <w:rFonts w:ascii="돋움체" w:eastAsia="돋움체" w:hAnsi="돋움체"/>
                <w:b/>
                <w:bCs/>
                <w:w w:val="85"/>
                <w:sz w:val="30"/>
                <w:szCs w:val="30"/>
              </w:rPr>
            </w:pPr>
          </w:p>
        </w:tc>
        <w:tc>
          <w:tcPr>
            <w:tcW w:w="4365" w:type="dxa"/>
            <w:tcBorders>
              <w:top w:val="nil"/>
              <w:left w:val="nil"/>
              <w:bottom w:val="nil"/>
              <w:right w:val="nil"/>
            </w:tcBorders>
            <w:shd w:val="clear" w:color="auto" w:fill="DFDFDF"/>
            <w:tcMar>
              <w:top w:w="28" w:type="dxa"/>
              <w:left w:w="28" w:type="dxa"/>
              <w:bottom w:w="28" w:type="dxa"/>
              <w:right w:w="28" w:type="dxa"/>
            </w:tcMar>
            <w:vAlign w:val="center"/>
            <w:hideMark/>
          </w:tcPr>
          <w:p w14:paraId="1EAAD1AA" w14:textId="230AB60B" w:rsidR="00E0646A" w:rsidRPr="00E0646A" w:rsidRDefault="00DC095E" w:rsidP="00DC095E">
            <w:pPr>
              <w:spacing w:after="0" w:line="240" w:lineRule="auto"/>
              <w:ind w:firstLineChars="100" w:firstLine="198"/>
              <w:rPr>
                <w:rFonts w:ascii="함초롬돋움" w:eastAsia="함초롬돋움" w:hAnsi="함초롬돋움" w:cs="함초롬돋움" w:hint="eastAsia"/>
                <w:b/>
                <w:bCs/>
                <w:w w:val="85"/>
                <w:sz w:val="24"/>
                <w:szCs w:val="24"/>
              </w:rPr>
            </w:pPr>
            <w:r w:rsidRPr="00DC095E">
              <w:rPr>
                <w:rFonts w:ascii="함초롬돋움" w:eastAsia="함초롬돋움" w:hAnsi="함초롬돋움" w:cs="함초롬돋움" w:hint="eastAsia"/>
                <w:b/>
                <w:bCs/>
                <w:w w:val="85"/>
                <w:sz w:val="24"/>
                <w:szCs w:val="24"/>
              </w:rPr>
              <w:t>Introduction</w:t>
            </w:r>
          </w:p>
        </w:tc>
      </w:tr>
    </w:tbl>
    <w:p w14:paraId="58542529" w14:textId="77777777" w:rsidR="00DC095E" w:rsidRPr="00DC095E" w:rsidRDefault="00E0646A" w:rsidP="00DC095E">
      <w:pPr>
        <w:spacing w:after="0" w:line="240" w:lineRule="auto"/>
        <w:ind w:firstLineChars="100" w:firstLine="200"/>
        <w:rPr>
          <w:rFonts w:ascii="함초롬바탕" w:eastAsia="함초롬바탕" w:hAnsi="함초롬바탕" w:cs="함초롬바탕"/>
          <w:w w:val="85"/>
          <w:sz w:val="22"/>
        </w:rPr>
      </w:pPr>
      <w:r w:rsidRPr="00E73106">
        <w:rPr>
          <w:rFonts w:ascii="신명조" w:eastAsia="신명조" w:hAnsi="Times New Roman" w:cs="Times New Roman" w:hint="eastAsia"/>
          <w:noProof/>
        </w:rPr>
        <mc:AlternateContent>
          <mc:Choice Requires="wps">
            <w:drawing>
              <wp:anchor distT="0" distB="0" distL="114300" distR="114300" simplePos="0" relativeHeight="251659264" behindDoc="0" locked="0" layoutInCell="1" allowOverlap="1" wp14:anchorId="4E924717" wp14:editId="37359256">
                <wp:simplePos x="0" y="0"/>
                <wp:positionH relativeFrom="margin">
                  <wp:posOffset>46355</wp:posOffset>
                </wp:positionH>
                <wp:positionV relativeFrom="margin">
                  <wp:posOffset>46355</wp:posOffset>
                </wp:positionV>
                <wp:extent cx="5905500" cy="2047875"/>
                <wp:effectExtent l="0" t="0" r="0" b="9525"/>
                <wp:wrapTopAndBottom/>
                <wp:docPr id="1978218446" name="_x463320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204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49580" w14:textId="046BD6A2" w:rsidR="00DC095E" w:rsidRPr="00DC095E" w:rsidRDefault="00DC095E" w:rsidP="00DC095E">
                            <w:pPr>
                              <w:spacing w:after="0" w:line="240" w:lineRule="auto"/>
                              <w:contextualSpacing/>
                              <w:jc w:val="center"/>
                              <w:rPr>
                                <w:rFonts w:ascii="함초롬바탕" w:eastAsia="함초롬바탕" w:hAnsi="함초롬바탕" w:cs="함초롬바탕"/>
                                <w:b/>
                                <w:bCs/>
                                <w:w w:val="85"/>
                                <w:sz w:val="30"/>
                                <w:szCs w:val="30"/>
                              </w:rPr>
                            </w:pPr>
                            <w:r w:rsidRPr="00DC095E">
                              <w:rPr>
                                <w:rFonts w:ascii="함초롬바탕" w:eastAsia="함초롬바탕" w:hAnsi="함초롬바탕" w:cs="함초롬바탕" w:hint="eastAsia"/>
                                <w:b/>
                                <w:bCs/>
                                <w:w w:val="85"/>
                                <w:sz w:val="30"/>
                                <w:szCs w:val="30"/>
                              </w:rPr>
                              <w:t>Comparative Analysis of International Regulatory Systems for</w:t>
                            </w:r>
                            <w:r>
                              <w:rPr>
                                <w:rFonts w:ascii="함초롬바탕" w:eastAsia="함초롬바탕" w:hAnsi="함초롬바탕" w:cs="함초롬바탕"/>
                                <w:b/>
                                <w:bCs/>
                                <w:w w:val="85"/>
                                <w:sz w:val="30"/>
                                <w:szCs w:val="30"/>
                              </w:rPr>
                              <w:t xml:space="preserve"> </w:t>
                            </w:r>
                            <w:r w:rsidRPr="00DC095E">
                              <w:rPr>
                                <w:rFonts w:ascii="함초롬바탕" w:eastAsia="함초롬바탕" w:hAnsi="함초롬바탕" w:cs="함초롬바탕" w:hint="eastAsia"/>
                                <w:b/>
                                <w:bCs/>
                                <w:w w:val="85"/>
                                <w:sz w:val="30"/>
                                <w:szCs w:val="30"/>
                              </w:rPr>
                              <w:t>Radiological Characterization during the Nuclear Power Plant Decommissioning Planning Phase</w:t>
                            </w:r>
                          </w:p>
                          <w:p w14:paraId="3BB3BF54" w14:textId="77777777" w:rsidR="00CF2CFD" w:rsidRPr="000E7E06" w:rsidRDefault="00CF2CFD" w:rsidP="00E0646A">
                            <w:pPr>
                              <w:spacing w:after="0" w:line="240" w:lineRule="auto"/>
                              <w:jc w:val="center"/>
                              <w:rPr>
                                <w:rFonts w:ascii="함초롬바탕" w:eastAsia="함초롬바탕" w:hAnsi="함초롬바탕" w:cs="함초롬바탕"/>
                                <w:w w:val="85"/>
                                <w:sz w:val="22"/>
                                <w:szCs w:val="24"/>
                              </w:rPr>
                            </w:pPr>
                            <w:r w:rsidRPr="000E7E06">
                              <w:rPr>
                                <w:rFonts w:ascii="함초롬바탕" w:eastAsia="함초롬바탕" w:hAnsi="함초롬바탕" w:cs="함초롬바탕" w:hint="eastAsia"/>
                                <w:w w:val="85"/>
                                <w:sz w:val="22"/>
                                <w:szCs w:val="24"/>
                              </w:rPr>
                              <w:t xml:space="preserve">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r w:rsidRPr="000E7E06">
                              <w:rPr>
                                <w:rFonts w:ascii="함초롬바탕" w:eastAsia="함초롬바탕" w:hAnsi="함초롬바탕" w:cs="함초롬바탕"/>
                                <w:w w:val="85"/>
                                <w:sz w:val="22"/>
                                <w:szCs w:val="24"/>
                                <w:vertAlign w:val="superscript"/>
                              </w:rPr>
                              <w:t>✝</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p>
                          <w:p w14:paraId="79BFBF45" w14:textId="023DBA67" w:rsidR="00CF2CFD" w:rsidRPr="000E7E06" w:rsidRDefault="00627135" w:rsidP="00E0646A">
                            <w:pPr>
                              <w:spacing w:after="0" w:line="240" w:lineRule="auto"/>
                              <w:jc w:val="center"/>
                              <w:rPr>
                                <w:rFonts w:ascii="함초롬바탕" w:eastAsia="함초롬바탕" w:hAnsi="함초롬바탕" w:cs="함초롬바탕"/>
                                <w:w w:val="85"/>
                                <w:sz w:val="18"/>
                                <w:szCs w:val="18"/>
                              </w:rPr>
                            </w:pPr>
                            <w:r>
                              <w:rPr>
                                <w:rFonts w:ascii="함초롬바탕" w:eastAsia="함초롬바탕" w:hAnsi="함초롬바탕" w:cs="함초롬바탕"/>
                                <w:w w:val="85"/>
                                <w:sz w:val="18"/>
                                <w:szCs w:val="18"/>
                              </w:rPr>
                              <w:t>㈜</w:t>
                            </w:r>
                            <w:r w:rsidR="00CF2CFD" w:rsidRPr="000E7E06">
                              <w:rPr>
                                <w:rFonts w:ascii="함초롬바탕" w:eastAsia="함초롬바탕" w:hAnsi="함초롬바탕" w:cs="함초롬바탕" w:hint="eastAsia"/>
                                <w:w w:val="85"/>
                                <w:sz w:val="18"/>
                                <w:szCs w:val="18"/>
                              </w:rPr>
                              <w:t>0000, *000000000000</w:t>
                            </w:r>
                          </w:p>
                          <w:p w14:paraId="4C19BE64" w14:textId="77777777" w:rsidR="00CF2CFD" w:rsidRPr="000E7E06" w:rsidRDefault="00CF2CFD" w:rsidP="00E0646A">
                            <w:pPr>
                              <w:spacing w:after="0" w:line="240" w:lineRule="auto"/>
                              <w:jc w:val="center"/>
                              <w:rPr>
                                <w:rFonts w:ascii="함초롬바탕" w:eastAsia="함초롬바탕" w:hAnsi="함초롬바탕" w:cs="함초롬바탕"/>
                                <w:w w:val="85"/>
                                <w:sz w:val="18"/>
                                <w:szCs w:val="18"/>
                              </w:rPr>
                            </w:pPr>
                            <w:r w:rsidRPr="000E7E06">
                              <w:rPr>
                                <w:rFonts w:ascii="함초롬바탕" w:eastAsia="함초롬바탕" w:hAnsi="함초롬바탕" w:cs="함초롬바탕"/>
                                <w:w w:val="85"/>
                                <w:sz w:val="18"/>
                                <w:szCs w:val="18"/>
                                <w:vertAlign w:val="superscript"/>
                              </w:rPr>
                              <w:t>✝</w:t>
                            </w:r>
                            <w:r w:rsidRPr="000E7E06">
                              <w:rPr>
                                <w:rFonts w:ascii="함초롬바탕" w:eastAsia="함초롬바탕" w:hAnsi="함초롬바탕" w:cs="함초롬바탕" w:hint="eastAsia"/>
                                <w:w w:val="85"/>
                                <w:sz w:val="18"/>
                                <w:szCs w:val="18"/>
                              </w:rPr>
                              <w:t xml:space="preserve">E-mail: </w:t>
                            </w:r>
                          </w:p>
                          <w:p w14:paraId="4DF11F2F" w14:textId="77777777" w:rsidR="00DC095E" w:rsidRPr="00DC095E" w:rsidRDefault="00DC095E" w:rsidP="00DC095E">
                            <w:pPr>
                              <w:spacing w:after="0" w:line="240" w:lineRule="auto"/>
                              <w:rPr>
                                <w:rFonts w:ascii="함초롬바탕" w:eastAsia="함초롬바탕" w:hAnsi="함초롬바탕" w:cs="함초롬바탕"/>
                                <w:w w:val="85"/>
                                <w:sz w:val="18"/>
                                <w:szCs w:val="18"/>
                              </w:rPr>
                            </w:pPr>
                            <w:r w:rsidRPr="00DC095E">
                              <w:rPr>
                                <w:rFonts w:ascii="함초롬바탕" w:eastAsia="함초롬바탕" w:hAnsi="함초롬바탕" w:cs="함초롬바탕" w:hint="eastAsia"/>
                                <w:w w:val="85"/>
                                <w:sz w:val="18"/>
                                <w:szCs w:val="18"/>
                              </w:rPr>
                              <w:t>Keywords: Nuclear power plant decommissioning, Radiological characterization, IAEA, NRC</w:t>
                            </w:r>
                          </w:p>
                          <w:p w14:paraId="718E09BA" w14:textId="5516275E" w:rsidR="00CF2CFD" w:rsidRPr="00DC095E" w:rsidRDefault="00CF2CFD" w:rsidP="00DC095E">
                            <w:pPr>
                              <w:spacing w:after="0" w:line="240" w:lineRule="auto"/>
                              <w:rPr>
                                <w:rFonts w:ascii="함초롬바탕" w:eastAsia="함초롬바탕" w:hAnsi="함초롬바탕" w:cs="함초롬바탕"/>
                                <w:w w:val="8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24717" id="_x463320504" o:spid="_x0000_s1026" style="position:absolute;left:0;text-align:left;margin-left:3.65pt;margin-top:3.65pt;width:465pt;height:16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" filled="f" stroked="f">
                <v:textbox>
                  <w:txbxContent>
                    <w:p w14:paraId="7C649580" w14:textId="046BD6A2" w:rsidR="00DC095E" w:rsidRPr="00DC095E" w:rsidRDefault="00DC095E" w:rsidP="00DC095E">
                      <w:pPr>
                        <w:spacing w:after="0" w:line="240" w:lineRule="auto"/>
                        <w:contextualSpacing/>
                        <w:jc w:val="center"/>
                        <w:rPr>
                          <w:rFonts w:ascii="함초롬바탕" w:eastAsia="함초롬바탕" w:hAnsi="함초롬바탕" w:cs="함초롬바탕"/>
                          <w:b/>
                          <w:bCs/>
                          <w:w w:val="85"/>
                          <w:sz w:val="30"/>
                          <w:szCs w:val="30"/>
                        </w:rPr>
                      </w:pPr>
                      <w:r w:rsidRPr="00DC095E">
                        <w:rPr>
                          <w:rFonts w:ascii="함초롬바탕" w:eastAsia="함초롬바탕" w:hAnsi="함초롬바탕" w:cs="함초롬바탕" w:hint="eastAsia"/>
                          <w:b/>
                          <w:bCs/>
                          <w:w w:val="85"/>
                          <w:sz w:val="30"/>
                          <w:szCs w:val="30"/>
                        </w:rPr>
                        <w:t>Comparative Analysis of International Regulatory Systems for</w:t>
                      </w:r>
                      <w:r>
                        <w:rPr>
                          <w:rFonts w:ascii="함초롬바탕" w:eastAsia="함초롬바탕" w:hAnsi="함초롬바탕" w:cs="함초롬바탕"/>
                          <w:b/>
                          <w:bCs/>
                          <w:w w:val="85"/>
                          <w:sz w:val="30"/>
                          <w:szCs w:val="30"/>
                        </w:rPr>
                        <w:t xml:space="preserve"> </w:t>
                      </w:r>
                      <w:r w:rsidRPr="00DC095E">
                        <w:rPr>
                          <w:rFonts w:ascii="함초롬바탕" w:eastAsia="함초롬바탕" w:hAnsi="함초롬바탕" w:cs="함초롬바탕" w:hint="eastAsia"/>
                          <w:b/>
                          <w:bCs/>
                          <w:w w:val="85"/>
                          <w:sz w:val="30"/>
                          <w:szCs w:val="30"/>
                        </w:rPr>
                        <w:t>Radiological Characterization during the Nuclear Power Plant Decommissioning Planning Phase</w:t>
                      </w:r>
                    </w:p>
                    <w:p w14:paraId="3BB3BF54" w14:textId="77777777" w:rsidR="00CF2CFD" w:rsidRPr="000E7E06" w:rsidRDefault="00CF2CFD" w:rsidP="00E0646A">
                      <w:pPr>
                        <w:spacing w:after="0" w:line="240" w:lineRule="auto"/>
                        <w:jc w:val="center"/>
                        <w:rPr>
                          <w:rFonts w:ascii="함초롬바탕" w:eastAsia="함초롬바탕" w:hAnsi="함초롬바탕" w:cs="함초롬바탕"/>
                          <w:w w:val="85"/>
                          <w:sz w:val="22"/>
                          <w:szCs w:val="24"/>
                        </w:rPr>
                      </w:pPr>
                      <w:r w:rsidRPr="000E7E06">
                        <w:rPr>
                          <w:rFonts w:ascii="함초롬바탕" w:eastAsia="함초롬바탕" w:hAnsi="함초롬바탕" w:cs="함초롬바탕" w:hint="eastAsia"/>
                          <w:w w:val="85"/>
                          <w:sz w:val="22"/>
                          <w:szCs w:val="24"/>
                        </w:rPr>
                        <w:t xml:space="preserve">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r w:rsidRPr="000E7E06">
                        <w:rPr>
                          <w:rFonts w:ascii="함초롬바탕" w:eastAsia="함초롬바탕" w:hAnsi="함초롬바탕" w:cs="함초롬바탕"/>
                          <w:w w:val="85"/>
                          <w:sz w:val="22"/>
                          <w:szCs w:val="24"/>
                          <w:vertAlign w:val="superscript"/>
                        </w:rPr>
                        <w:t>✝</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p>
                    <w:p w14:paraId="79BFBF45" w14:textId="023DBA67" w:rsidR="00CF2CFD" w:rsidRPr="000E7E06" w:rsidRDefault="00627135" w:rsidP="00E0646A">
                      <w:pPr>
                        <w:spacing w:after="0" w:line="240" w:lineRule="auto"/>
                        <w:jc w:val="center"/>
                        <w:rPr>
                          <w:rFonts w:ascii="함초롬바탕" w:eastAsia="함초롬바탕" w:hAnsi="함초롬바탕" w:cs="함초롬바탕"/>
                          <w:w w:val="85"/>
                          <w:sz w:val="18"/>
                          <w:szCs w:val="18"/>
                        </w:rPr>
                      </w:pPr>
                      <w:r>
                        <w:rPr>
                          <w:rFonts w:ascii="함초롬바탕" w:eastAsia="함초롬바탕" w:hAnsi="함초롬바탕" w:cs="함초롬바탕"/>
                          <w:w w:val="85"/>
                          <w:sz w:val="18"/>
                          <w:szCs w:val="18"/>
                        </w:rPr>
                        <w:t>㈜</w:t>
                      </w:r>
                      <w:r w:rsidR="00CF2CFD" w:rsidRPr="000E7E06">
                        <w:rPr>
                          <w:rFonts w:ascii="함초롬바탕" w:eastAsia="함초롬바탕" w:hAnsi="함초롬바탕" w:cs="함초롬바탕" w:hint="eastAsia"/>
                          <w:w w:val="85"/>
                          <w:sz w:val="18"/>
                          <w:szCs w:val="18"/>
                        </w:rPr>
                        <w:t>0000, *000000000000</w:t>
                      </w:r>
                    </w:p>
                    <w:p w14:paraId="4C19BE64" w14:textId="77777777" w:rsidR="00CF2CFD" w:rsidRPr="000E7E06" w:rsidRDefault="00CF2CFD" w:rsidP="00E0646A">
                      <w:pPr>
                        <w:spacing w:after="0" w:line="240" w:lineRule="auto"/>
                        <w:jc w:val="center"/>
                        <w:rPr>
                          <w:rFonts w:ascii="함초롬바탕" w:eastAsia="함초롬바탕" w:hAnsi="함초롬바탕" w:cs="함초롬바탕"/>
                          <w:w w:val="85"/>
                          <w:sz w:val="18"/>
                          <w:szCs w:val="18"/>
                        </w:rPr>
                      </w:pPr>
                      <w:r w:rsidRPr="000E7E06">
                        <w:rPr>
                          <w:rFonts w:ascii="함초롬바탕" w:eastAsia="함초롬바탕" w:hAnsi="함초롬바탕" w:cs="함초롬바탕"/>
                          <w:w w:val="85"/>
                          <w:sz w:val="18"/>
                          <w:szCs w:val="18"/>
                          <w:vertAlign w:val="superscript"/>
                        </w:rPr>
                        <w:t>✝</w:t>
                      </w:r>
                      <w:r w:rsidRPr="000E7E06">
                        <w:rPr>
                          <w:rFonts w:ascii="함초롬바탕" w:eastAsia="함초롬바탕" w:hAnsi="함초롬바탕" w:cs="함초롬바탕" w:hint="eastAsia"/>
                          <w:w w:val="85"/>
                          <w:sz w:val="18"/>
                          <w:szCs w:val="18"/>
                        </w:rPr>
                        <w:t xml:space="preserve">E-mail: </w:t>
                      </w:r>
                    </w:p>
                    <w:p w14:paraId="4DF11F2F" w14:textId="77777777" w:rsidR="00DC095E" w:rsidRPr="00DC095E" w:rsidRDefault="00DC095E" w:rsidP="00DC095E">
                      <w:pPr>
                        <w:spacing w:after="0" w:line="240" w:lineRule="auto"/>
                        <w:rPr>
                          <w:rFonts w:ascii="함초롬바탕" w:eastAsia="함초롬바탕" w:hAnsi="함초롬바탕" w:cs="함초롬바탕"/>
                          <w:w w:val="85"/>
                          <w:sz w:val="18"/>
                          <w:szCs w:val="18"/>
                        </w:rPr>
                      </w:pPr>
                      <w:r w:rsidRPr="00DC095E">
                        <w:rPr>
                          <w:rFonts w:ascii="함초롬바탕" w:eastAsia="함초롬바탕" w:hAnsi="함초롬바탕" w:cs="함초롬바탕" w:hint="eastAsia"/>
                          <w:w w:val="85"/>
                          <w:sz w:val="18"/>
                          <w:szCs w:val="18"/>
                        </w:rPr>
                        <w:t>Keywords: Nuclear power plant decommissioning, Radiological characterization, IAEA, NRC</w:t>
                      </w:r>
                    </w:p>
                    <w:p w14:paraId="718E09BA" w14:textId="5516275E" w:rsidR="00CF2CFD" w:rsidRPr="00DC095E" w:rsidRDefault="00CF2CFD" w:rsidP="00DC095E">
                      <w:pPr>
                        <w:spacing w:after="0" w:line="240" w:lineRule="auto"/>
                        <w:rPr>
                          <w:rFonts w:ascii="함초롬바탕" w:eastAsia="함초롬바탕" w:hAnsi="함초롬바탕" w:cs="함초롬바탕"/>
                          <w:w w:val="85"/>
                        </w:rPr>
                      </w:pPr>
                    </w:p>
                  </w:txbxContent>
                </v:textbox>
                <w10:wrap type="topAndBottom" anchorx="margin" anchory="margin"/>
              </v:rect>
            </w:pict>
          </mc:Fallback>
        </mc:AlternateContent>
      </w:r>
      <w:r w:rsidRPr="00E0646A">
        <w:rPr>
          <w:rFonts w:ascii="함초롬바탕" w:eastAsia="함초롬바탕" w:hAnsi="함초롬바탕" w:cs="함초롬바탕" w:hint="eastAsia"/>
          <w:w w:val="85"/>
          <w:sz w:val="22"/>
        </w:rPr>
        <w:t xml:space="preserve"> </w:t>
      </w:r>
      <w:r w:rsidR="00DC095E" w:rsidRPr="00DC095E">
        <w:rPr>
          <w:rFonts w:ascii="함초롬바탕" w:eastAsia="함초롬바탕" w:hAnsi="함초롬바탕" w:cs="함초롬바탕" w:hint="eastAsia"/>
          <w:w w:val="85"/>
          <w:sz w:val="22"/>
        </w:rPr>
        <w:t>For the decommissioning of a nuclear power plant, radiological characterization assessments tailored to specific purposes are conducted at various stages. Although the terminology used by the IAEA and the United States to define these assessments differs slightly, they can be broadly classified into three phases: ‘during the establishment of a decommissioning plan,’ ‘during decommissioning,’ and ‘after the completion of physical decommissioning.’</w:t>
      </w:r>
    </w:p>
    <w:p w14:paraId="2F228D8E" w14:textId="77777777" w:rsidR="00DC095E" w:rsidRPr="00DC095E" w:rsidRDefault="00DC095E" w:rsidP="00DC095E">
      <w:pPr>
        <w:spacing w:after="0" w:line="240" w:lineRule="auto"/>
        <w:ind w:firstLineChars="100" w:firstLine="181"/>
        <w:rPr>
          <w:rFonts w:ascii="함초롬바탕" w:eastAsia="함초롬바탕" w:hAnsi="함초롬바탕" w:cs="함초롬바탕"/>
          <w:w w:val="85"/>
          <w:sz w:val="22"/>
        </w:rPr>
      </w:pPr>
    </w:p>
    <w:p w14:paraId="5B9D5D7F" w14:textId="5B07BF8F" w:rsidR="00DC095E" w:rsidRDefault="00DC095E" w:rsidP="00DC095E">
      <w:pPr>
        <w:spacing w:after="0" w:line="240" w:lineRule="auto"/>
        <w:ind w:firstLineChars="100" w:firstLine="181"/>
        <w:rPr>
          <w:rFonts w:ascii="함초롬바탕" w:eastAsia="함초롬바탕" w:hAnsi="함초롬바탕" w:cs="함초롬바탕"/>
          <w:w w:val="85"/>
          <w:sz w:val="22"/>
        </w:rPr>
      </w:pPr>
      <w:r w:rsidRPr="00DC095E">
        <w:rPr>
          <w:rFonts w:ascii="함초롬바탕" w:eastAsia="함초롬바탕" w:hAnsi="함초롬바탕" w:cs="함초롬바탕" w:hint="eastAsia"/>
          <w:w w:val="85"/>
          <w:sz w:val="22"/>
        </w:rPr>
        <w:t>During the establishment of a decommissioning plan, the types of radionuclides present in the target facility, as well as their radioactivity levels and distributions, are predicted. This work serves as a criterion for determining not only the timing of the decommissioning start (immediate or delayed decommissioning) but also the methods for executing detailed decommissioning processes. Furthermore, the results of this properly conducted assessment serve as a significant asset in planning to decommission the target facility economically and safely.</w:t>
      </w:r>
    </w:p>
    <w:p w14:paraId="534CB3EE" w14:textId="0AEC47B4" w:rsidR="0035008B" w:rsidRPr="00DC095E" w:rsidRDefault="0035008B" w:rsidP="00DC095E">
      <w:pPr>
        <w:spacing w:after="0" w:line="240" w:lineRule="auto"/>
        <w:ind w:firstLineChars="100" w:firstLine="181"/>
        <w:rPr>
          <w:rFonts w:ascii="함초롬바탕" w:eastAsia="함초롬바탕" w:hAnsi="함초롬바탕" w:cs="함초롬바탕"/>
          <w:w w:val="85"/>
          <w:sz w:val="22"/>
        </w:rPr>
      </w:pPr>
      <w:r>
        <w:rPr>
          <w:rFonts w:ascii="함초롬바탕" w:eastAsia="함초롬바탕" w:hAnsi="함초롬바탕" w:cs="함초롬바탕"/>
          <w:w w:val="85"/>
          <w:sz w:val="22"/>
        </w:rPr>
        <w:t>……………………</w:t>
      </w:r>
    </w:p>
    <w:p w14:paraId="55E504E7" w14:textId="1DC2ED59" w:rsidR="00E0646A" w:rsidRPr="00E0646A" w:rsidRDefault="00E0646A" w:rsidP="00026F6E">
      <w:pPr>
        <w:spacing w:after="0" w:line="240" w:lineRule="auto"/>
        <w:ind w:firstLineChars="100" w:firstLine="181"/>
        <w:rPr>
          <w:rFonts w:ascii="함초롬바탕" w:eastAsia="함초롬바탕" w:hAnsi="함초롬바탕" w:cs="함초롬바탕"/>
          <w:w w:val="85"/>
          <w:sz w:val="22"/>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12"/>
        <w:gridCol w:w="4367"/>
      </w:tblGrid>
      <w:tr w:rsidR="00E0646A" w:rsidRPr="00C27BC4" w14:paraId="53755B32" w14:textId="77777777" w:rsidTr="00E0646A">
        <w:trPr>
          <w:trHeight w:val="446"/>
        </w:trPr>
        <w:tc>
          <w:tcPr>
            <w:tcW w:w="112" w:type="dxa"/>
            <w:tcBorders>
              <w:top w:val="nil"/>
              <w:left w:val="nil"/>
              <w:bottom w:val="nil"/>
              <w:right w:val="nil"/>
            </w:tcBorders>
            <w:shd w:val="clear" w:color="auto" w:fill="808080"/>
            <w:tcMar>
              <w:top w:w="28" w:type="dxa"/>
              <w:left w:w="28" w:type="dxa"/>
              <w:bottom w:w="28" w:type="dxa"/>
              <w:right w:w="28" w:type="dxa"/>
            </w:tcMar>
            <w:vAlign w:val="center"/>
            <w:hideMark/>
          </w:tcPr>
          <w:p w14:paraId="4DF9F08D" w14:textId="77777777" w:rsidR="00E0646A" w:rsidRPr="00DC095E" w:rsidRDefault="00E0646A" w:rsidP="00E0646A">
            <w:pPr>
              <w:spacing w:after="0" w:line="240" w:lineRule="auto"/>
              <w:rPr>
                <w:rFonts w:ascii="함초롬바탕" w:eastAsia="함초롬바탕" w:hAnsi="함초롬바탕" w:cs="함초롬바탕"/>
                <w:w w:val="85"/>
                <w:sz w:val="22"/>
              </w:rPr>
            </w:pPr>
          </w:p>
        </w:tc>
        <w:tc>
          <w:tcPr>
            <w:tcW w:w="4367" w:type="dxa"/>
            <w:tcBorders>
              <w:top w:val="nil"/>
              <w:left w:val="nil"/>
              <w:bottom w:val="nil"/>
              <w:right w:val="nil"/>
            </w:tcBorders>
            <w:shd w:val="clear" w:color="auto" w:fill="DFDFDF"/>
            <w:tcMar>
              <w:top w:w="28" w:type="dxa"/>
              <w:left w:w="28" w:type="dxa"/>
              <w:bottom w:w="28" w:type="dxa"/>
              <w:right w:w="28" w:type="dxa"/>
            </w:tcMar>
            <w:vAlign w:val="center"/>
            <w:hideMark/>
          </w:tcPr>
          <w:p w14:paraId="088E3AE0" w14:textId="637449C5" w:rsidR="00E0646A" w:rsidRPr="00E0646A" w:rsidRDefault="00DC095E" w:rsidP="00DC095E">
            <w:pPr>
              <w:spacing w:after="0" w:line="240" w:lineRule="auto"/>
              <w:ind w:firstLineChars="100" w:firstLine="198"/>
              <w:rPr>
                <w:rFonts w:ascii="함초롬돋움" w:eastAsia="함초롬돋움" w:hAnsi="함초롬돋움" w:cs="함초롬돋움"/>
                <w:w w:val="85"/>
                <w:sz w:val="24"/>
                <w:szCs w:val="24"/>
              </w:rPr>
            </w:pPr>
            <w:r w:rsidRPr="00DC095E">
              <w:rPr>
                <w:rFonts w:ascii="함초롬돋움" w:eastAsia="함초롬돋움" w:hAnsi="함초롬돋움" w:cs="함초롬돋움" w:hint="eastAsia"/>
                <w:b/>
                <w:bCs/>
                <w:w w:val="85"/>
                <w:sz w:val="24"/>
                <w:szCs w:val="24"/>
              </w:rPr>
              <w:t>Materials and Methods</w:t>
            </w:r>
          </w:p>
        </w:tc>
      </w:tr>
    </w:tbl>
    <w:p w14:paraId="5F1B6EF8" w14:textId="77777777" w:rsidR="00DC095E" w:rsidRPr="00DC095E" w:rsidRDefault="00DC095E" w:rsidP="00DC095E">
      <w:pPr>
        <w:spacing w:after="0" w:line="240" w:lineRule="auto"/>
        <w:rPr>
          <w:rFonts w:ascii="함초롬바탕" w:eastAsia="함초롬바탕" w:hAnsi="함초롬바탕" w:cs="함초롬바탕"/>
          <w:w w:val="85"/>
          <w:sz w:val="22"/>
        </w:rPr>
      </w:pPr>
      <w:r w:rsidRPr="00DC095E">
        <w:rPr>
          <w:rFonts w:ascii="함초롬바탕" w:eastAsia="함초롬바탕" w:hAnsi="함초롬바탕" w:cs="함초롬바탕" w:hint="eastAsia"/>
          <w:w w:val="85"/>
          <w:sz w:val="22"/>
        </w:rPr>
        <w:t>Although the IAEA published various technical reports and documents regarding decommissioning in the 1980s, it gave little consideration to radiological characteristics. Globally, as the number of nuclear power plants entering the permanent shutdown phase increased from the late 1980s, the need for strategies and objectives for evaluating radiological characteristics was recognized to proceed with decommissioning in a systematic manner, and research was conducted on this.</w:t>
      </w:r>
    </w:p>
    <w:p w14:paraId="3A7D0998" w14:textId="77777777" w:rsidR="00DC095E" w:rsidRPr="00DC095E" w:rsidRDefault="00DC095E" w:rsidP="00DC095E">
      <w:pPr>
        <w:spacing w:after="0" w:line="240" w:lineRule="auto"/>
        <w:rPr>
          <w:rFonts w:ascii="함초롬바탕" w:eastAsia="함초롬바탕" w:hAnsi="함초롬바탕" w:cs="함초롬바탕"/>
          <w:w w:val="85"/>
          <w:sz w:val="22"/>
        </w:rPr>
      </w:pPr>
    </w:p>
    <w:p w14:paraId="69E5DC77" w14:textId="7468C61B" w:rsidR="00DC095E" w:rsidRDefault="00DC095E" w:rsidP="00DC095E">
      <w:pPr>
        <w:spacing w:after="0" w:line="240" w:lineRule="auto"/>
        <w:rPr>
          <w:rFonts w:ascii="함초롬바탕" w:eastAsia="함초롬바탕" w:hAnsi="함초롬바탕" w:cs="함초롬바탕"/>
          <w:w w:val="85"/>
          <w:sz w:val="22"/>
        </w:rPr>
      </w:pPr>
      <w:r w:rsidRPr="00DC095E">
        <w:rPr>
          <w:rFonts w:ascii="함초롬바탕" w:eastAsia="함초롬바탕" w:hAnsi="함초롬바탕" w:cs="함초롬바탕" w:hint="eastAsia"/>
          <w:w w:val="85"/>
          <w:sz w:val="22"/>
        </w:rPr>
        <w:t>To this end, a group meeting related to this was held in Vienna in February 1996, and as a result of transnational discussions, a guide [1] on evaluating radiological characteristics when establishing decommissioning plans was developed.</w:t>
      </w:r>
    </w:p>
    <w:p w14:paraId="7284FD01" w14:textId="7A209EAE" w:rsidR="0035008B" w:rsidRPr="00DC095E" w:rsidRDefault="0035008B" w:rsidP="00DC095E">
      <w:pPr>
        <w:spacing w:after="0" w:line="240" w:lineRule="auto"/>
        <w:rPr>
          <w:rFonts w:ascii="함초롬바탕" w:eastAsia="함초롬바탕" w:hAnsi="함초롬바탕" w:cs="함초롬바탕"/>
          <w:w w:val="85"/>
          <w:sz w:val="22"/>
        </w:rPr>
      </w:pPr>
      <w:r>
        <w:rPr>
          <w:rFonts w:ascii="함초롬바탕" w:eastAsia="함초롬바탕" w:hAnsi="함초롬바탕" w:cs="함초롬바탕"/>
          <w:w w:val="85"/>
          <w:sz w:val="22"/>
        </w:rPr>
        <w:t>………</w:t>
      </w:r>
    </w:p>
    <w:p w14:paraId="161C9D67" w14:textId="784CECEE" w:rsidR="00E0646A" w:rsidRPr="00DC095E" w:rsidRDefault="00E0646A" w:rsidP="00E0646A">
      <w:pPr>
        <w:spacing w:after="0" w:line="240" w:lineRule="auto"/>
        <w:rPr>
          <w:rFonts w:ascii="함초롬바탕" w:eastAsia="함초롬바탕" w:hAnsi="함초롬바탕" w:cs="함초롬바탕"/>
          <w:w w:val="85"/>
          <w:sz w:val="22"/>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13"/>
        <w:gridCol w:w="4365"/>
      </w:tblGrid>
      <w:tr w:rsidR="00E0646A" w:rsidRPr="00C27BC4" w14:paraId="08F463CE" w14:textId="77777777" w:rsidTr="00E0646A">
        <w:trPr>
          <w:trHeight w:val="446"/>
        </w:trPr>
        <w:tc>
          <w:tcPr>
            <w:tcW w:w="113" w:type="dxa"/>
            <w:tcBorders>
              <w:top w:val="nil"/>
              <w:left w:val="nil"/>
              <w:bottom w:val="nil"/>
              <w:right w:val="nil"/>
            </w:tcBorders>
            <w:shd w:val="clear" w:color="auto" w:fill="808080"/>
            <w:tcMar>
              <w:top w:w="28" w:type="dxa"/>
              <w:left w:w="28" w:type="dxa"/>
              <w:bottom w:w="28" w:type="dxa"/>
              <w:right w:w="28" w:type="dxa"/>
            </w:tcMar>
            <w:vAlign w:val="center"/>
            <w:hideMark/>
          </w:tcPr>
          <w:p w14:paraId="62CF2C7E" w14:textId="77777777" w:rsidR="00E0646A" w:rsidRPr="00E0646A" w:rsidRDefault="00E0646A" w:rsidP="00E0646A">
            <w:pPr>
              <w:spacing w:after="0" w:line="240" w:lineRule="auto"/>
              <w:rPr>
                <w:rFonts w:ascii="함초롬바탕" w:eastAsia="함초롬바탕" w:hAnsi="함초롬바탕" w:cs="함초롬바탕"/>
                <w:w w:val="85"/>
                <w:sz w:val="22"/>
              </w:rPr>
            </w:pPr>
          </w:p>
        </w:tc>
        <w:tc>
          <w:tcPr>
            <w:tcW w:w="4365" w:type="dxa"/>
            <w:tcBorders>
              <w:top w:val="nil"/>
              <w:left w:val="nil"/>
              <w:bottom w:val="nil"/>
              <w:right w:val="nil"/>
            </w:tcBorders>
            <w:shd w:val="clear" w:color="auto" w:fill="DFDFDF"/>
            <w:tcMar>
              <w:top w:w="28" w:type="dxa"/>
              <w:left w:w="28" w:type="dxa"/>
              <w:bottom w:w="28" w:type="dxa"/>
              <w:right w:w="28" w:type="dxa"/>
            </w:tcMar>
            <w:vAlign w:val="center"/>
            <w:hideMark/>
          </w:tcPr>
          <w:p w14:paraId="40EAC0D4" w14:textId="57AAFA95" w:rsidR="00E0646A" w:rsidRPr="00E0646A" w:rsidRDefault="00DC095E" w:rsidP="00DC095E">
            <w:pPr>
              <w:spacing w:after="0" w:line="240" w:lineRule="auto"/>
              <w:ind w:firstLineChars="100" w:firstLine="198"/>
              <w:rPr>
                <w:rFonts w:ascii="함초롬돋움" w:eastAsia="함초롬돋움" w:hAnsi="함초롬돋움" w:cs="함초롬돋움"/>
                <w:w w:val="85"/>
                <w:sz w:val="24"/>
                <w:szCs w:val="24"/>
              </w:rPr>
            </w:pPr>
            <w:r w:rsidRPr="00DC095E">
              <w:rPr>
                <w:rFonts w:ascii="함초롬돋움" w:eastAsia="함초롬돋움" w:hAnsi="함초롬돋움" w:cs="함초롬돋움" w:hint="eastAsia"/>
                <w:b/>
                <w:bCs/>
                <w:w w:val="85"/>
                <w:sz w:val="24"/>
                <w:szCs w:val="24"/>
              </w:rPr>
              <w:t>Results and Discussion</w:t>
            </w:r>
          </w:p>
        </w:tc>
      </w:tr>
    </w:tbl>
    <w:p w14:paraId="2CC127B9" w14:textId="77777777" w:rsidR="00DC095E" w:rsidRPr="00DC095E" w:rsidRDefault="00DC095E" w:rsidP="00DC095E">
      <w:pPr>
        <w:spacing w:after="0" w:line="240" w:lineRule="auto"/>
        <w:ind w:firstLineChars="100" w:firstLine="181"/>
        <w:textAlignment w:val="baseline"/>
        <w:rPr>
          <w:rFonts w:ascii="함초롬바탕" w:eastAsia="함초롬바탕" w:hAnsi="함초롬바탕" w:cs="함초롬바탕"/>
          <w:w w:val="85"/>
          <w:sz w:val="22"/>
        </w:rPr>
      </w:pPr>
      <w:r w:rsidRPr="00DC095E">
        <w:rPr>
          <w:rFonts w:ascii="함초롬바탕" w:eastAsia="함초롬바탕" w:hAnsi="함초롬바탕" w:cs="함초롬바탕" w:hint="eastAsia"/>
          <w:w w:val="85"/>
          <w:sz w:val="22"/>
        </w:rPr>
        <w:t>Figure 1 illustrates the radiological characterization procedures recommended by the IAEA and those provided by the NRC.</w:t>
      </w:r>
    </w:p>
    <w:p w14:paraId="091DB5BC" w14:textId="77777777" w:rsidR="00DC095E" w:rsidRPr="00DC095E" w:rsidRDefault="00DC095E" w:rsidP="00DC095E">
      <w:pPr>
        <w:spacing w:after="0" w:line="240" w:lineRule="auto"/>
        <w:ind w:firstLineChars="100" w:firstLine="181"/>
        <w:textAlignment w:val="baseline"/>
        <w:rPr>
          <w:rFonts w:ascii="함초롬바탕" w:eastAsia="함초롬바탕" w:hAnsi="함초롬바탕" w:cs="함초롬바탕"/>
          <w:w w:val="85"/>
          <w:sz w:val="22"/>
        </w:rPr>
      </w:pPr>
      <w:r w:rsidRPr="00DC095E">
        <w:rPr>
          <w:rFonts w:ascii="함초롬바탕" w:eastAsia="함초롬바탕" w:hAnsi="함초롬바탕" w:cs="함초롬바탕" w:hint="eastAsia"/>
          <w:w w:val="85"/>
          <w:sz w:val="22"/>
        </w:rPr>
        <w:t>The fundamental difference between the two procedures stems from variations in the possession of decommissioning technology and experience.</w:t>
      </w:r>
    </w:p>
    <w:p w14:paraId="53D19263" w14:textId="4117AE57" w:rsidR="00DC095E" w:rsidRPr="00DC095E" w:rsidRDefault="00DC095E" w:rsidP="00DC095E">
      <w:pPr>
        <w:spacing w:after="0" w:line="240" w:lineRule="auto"/>
        <w:ind w:firstLineChars="100" w:firstLine="181"/>
        <w:rPr>
          <w:rFonts w:ascii="함초롬바탕" w:eastAsia="함초롬바탕" w:hAnsi="함초롬바탕" w:cs="함초롬바탕"/>
          <w:w w:val="85"/>
          <w:sz w:val="22"/>
        </w:rPr>
      </w:pPr>
      <w:r w:rsidRPr="00DC095E">
        <w:rPr>
          <w:rFonts w:ascii="함초롬바탕" w:eastAsia="함초롬바탕" w:hAnsi="함초롬바탕" w:cs="함초롬바탕" w:hint="eastAsia"/>
          <w:w w:val="85"/>
          <w:sz w:val="22"/>
        </w:rPr>
        <w:t xml:space="preserve">The IAEA focuses on guiding countries to secure the necessary technologies for decommissioning in advance. Consequently, it mandates the preparation of preliminary decommissioning plans even during the construction and operation of nuclear </w:t>
      </w:r>
      <w:r w:rsidRPr="00DC095E">
        <w:rPr>
          <w:rFonts w:ascii="함초롬바탕" w:eastAsia="함초롬바탕" w:hAnsi="함초롬바탕" w:cs="함초롬바탕" w:hint="eastAsia"/>
          <w:w w:val="85"/>
          <w:sz w:val="22"/>
        </w:rPr>
        <w:lastRenderedPageBreak/>
        <w:t>power plants.</w:t>
      </w:r>
    </w:p>
    <w:p w14:paraId="4D9AC47B" w14:textId="77777777" w:rsidR="00DC095E" w:rsidRDefault="00DC095E" w:rsidP="00DC095E">
      <w:pPr>
        <w:pStyle w:val="a7"/>
        <w:wordWrap/>
        <w:spacing w:line="360" w:lineRule="auto"/>
        <w:jc w:val="center"/>
      </w:pPr>
      <w:r>
        <w:rPr>
          <w:rFonts w:ascii="함초롬바탕" w:eastAsia="함초롬바탕" w:hAnsi="함초롬바탕" w:cs="함초롬바탕" w:hint="eastAsia"/>
          <w:spacing w:val="-24"/>
          <w:w w:val="85"/>
        </w:rPr>
        <w:t>Figure 1. Analysis of radiological characteristics</w:t>
      </w:r>
    </w:p>
    <w:p w14:paraId="66783485" w14:textId="77777777" w:rsidR="00DC095E" w:rsidRDefault="00DC095E" w:rsidP="00DC095E">
      <w:pPr>
        <w:spacing w:after="0" w:line="240" w:lineRule="auto"/>
        <w:ind w:firstLineChars="100" w:firstLine="181"/>
        <w:rPr>
          <w:rFonts w:ascii="함초롬바탕" w:eastAsia="함초롬바탕" w:hAnsi="함초롬바탕" w:cs="함초롬바탕"/>
          <w:w w:val="85"/>
          <w:sz w:val="22"/>
        </w:rPr>
      </w:pPr>
    </w:p>
    <w:p w14:paraId="1EA211D9" w14:textId="77777777" w:rsidR="0035008B" w:rsidRDefault="00DC095E" w:rsidP="0035008B">
      <w:pPr>
        <w:spacing w:after="0" w:line="240" w:lineRule="auto"/>
        <w:ind w:firstLineChars="100" w:firstLine="181"/>
        <w:rPr>
          <w:rFonts w:ascii="함초롬바탕" w:eastAsia="함초롬바탕" w:hAnsi="함초롬바탕" w:cs="함초롬바탕"/>
          <w:w w:val="85"/>
          <w:sz w:val="22"/>
        </w:rPr>
      </w:pPr>
      <w:r w:rsidRPr="00DC095E">
        <w:rPr>
          <w:rFonts w:ascii="함초롬바탕" w:eastAsia="함초롬바탕" w:hAnsi="함초롬바탕" w:cs="함초롬바탕" w:hint="eastAsia"/>
          <w:w w:val="85"/>
          <w:sz w:val="22"/>
        </w:rPr>
        <w:t>In contrast, the United States possesses sufficient nuclear decommissioning technology through extensive experience. This experience has confirmed that the radiological impact of decommissioning activities is minimal compared to operational levels. Therefore, the enactment of the Long-Term Reform Act (LTR) in 1996 established a regulatory framework for nuclear decommissioning tailored to the realities of the United States.</w:t>
      </w:r>
    </w:p>
    <w:p w14:paraId="59CC1F4B" w14:textId="178754E9" w:rsidR="00E0646A" w:rsidRPr="003C2A5D" w:rsidRDefault="00CD7ADA" w:rsidP="0035008B">
      <w:pPr>
        <w:spacing w:after="0" w:line="240" w:lineRule="auto"/>
        <w:ind w:firstLineChars="100" w:firstLine="181"/>
        <w:rPr>
          <w:rFonts w:ascii="함초롬바탕" w:eastAsia="함초롬바탕" w:hAnsi="함초롬바탕" w:cs="함초롬바탕" w:hint="eastAsia"/>
          <w:w w:val="85"/>
          <w:sz w:val="22"/>
        </w:rPr>
      </w:pPr>
      <w:r w:rsidRPr="00E0646A">
        <w:rPr>
          <w:rFonts w:ascii="함초롬바탕" w:eastAsia="함초롬바탕" w:hAnsi="함초롬바탕" w:cs="함초롬바탕"/>
          <w:noProof/>
          <w:w w:val="85"/>
          <w:sz w:val="22"/>
        </w:rPr>
        <w:drawing>
          <wp:anchor distT="0" distB="0" distL="114300" distR="114300" simplePos="0" relativeHeight="251658240" behindDoc="0" locked="0" layoutInCell="1" allowOverlap="1" wp14:anchorId="1533F200" wp14:editId="1659C9B4">
            <wp:simplePos x="0" y="0"/>
            <wp:positionH relativeFrom="column">
              <wp:posOffset>49530</wp:posOffset>
            </wp:positionH>
            <wp:positionV relativeFrom="line">
              <wp:posOffset>-6629400</wp:posOffset>
            </wp:positionV>
            <wp:extent cx="2803525" cy="2362200"/>
            <wp:effectExtent l="0" t="0" r="0" b="0"/>
            <wp:wrapTopAndBottom/>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77531816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3525" cy="2362200"/>
                    </a:xfrm>
                    <a:prstGeom prst="rect">
                      <a:avLst/>
                    </a:prstGeom>
                    <a:noFill/>
                  </pic:spPr>
                </pic:pic>
              </a:graphicData>
            </a:graphic>
            <wp14:sizeRelH relativeFrom="page">
              <wp14:pctWidth>0</wp14:pctWidth>
            </wp14:sizeRelH>
            <wp14:sizeRelV relativeFrom="page">
              <wp14:pctHeight>0</wp14:pctHeight>
            </wp14:sizeRelV>
          </wp:anchor>
        </w:drawing>
      </w:r>
      <w:r w:rsidR="0035008B">
        <w:rPr>
          <w:rFonts w:ascii="함초롬바탕" w:eastAsia="함초롬바탕" w:hAnsi="함초롬바탕" w:cs="함초롬바탕"/>
          <w:w w:val="85"/>
          <w:sz w:val="22"/>
        </w:rPr>
        <w:t>…………………</w:t>
      </w:r>
    </w:p>
    <w:p w14:paraId="06D972D1" w14:textId="77777777" w:rsidR="00E0646A" w:rsidRPr="003C2A5D" w:rsidRDefault="00E0646A" w:rsidP="00C27BC4">
      <w:pPr>
        <w:spacing w:after="0" w:line="240" w:lineRule="auto"/>
        <w:rPr>
          <w:rFonts w:ascii="함초롬바탕" w:eastAsia="함초롬바탕" w:hAnsi="함초롬바탕" w:cs="함초롬바탕"/>
          <w:w w:val="85"/>
          <w:sz w:val="22"/>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13"/>
        <w:gridCol w:w="4365"/>
      </w:tblGrid>
      <w:tr w:rsidR="00E0646A" w:rsidRPr="003C2A5D" w14:paraId="4F4E90F1" w14:textId="77777777" w:rsidTr="00E0646A">
        <w:trPr>
          <w:trHeight w:val="446"/>
          <w:jc w:val="center"/>
        </w:trPr>
        <w:tc>
          <w:tcPr>
            <w:tcW w:w="113" w:type="dxa"/>
            <w:tcBorders>
              <w:top w:val="nil"/>
              <w:left w:val="nil"/>
              <w:bottom w:val="nil"/>
              <w:right w:val="nil"/>
            </w:tcBorders>
            <w:shd w:val="clear" w:color="auto" w:fill="808080"/>
            <w:tcMar>
              <w:top w:w="28" w:type="dxa"/>
              <w:left w:w="28" w:type="dxa"/>
              <w:bottom w:w="28" w:type="dxa"/>
              <w:right w:w="28" w:type="dxa"/>
            </w:tcMar>
            <w:vAlign w:val="center"/>
            <w:hideMark/>
          </w:tcPr>
          <w:p w14:paraId="5F1664FC" w14:textId="77777777" w:rsidR="00E0646A" w:rsidRPr="003C2A5D" w:rsidRDefault="00E0646A" w:rsidP="00C27BC4">
            <w:pPr>
              <w:spacing w:after="0" w:line="240" w:lineRule="auto"/>
              <w:rPr>
                <w:rFonts w:ascii="함초롬바탕" w:eastAsia="함초롬바탕" w:hAnsi="함초롬바탕" w:cs="함초롬바탕"/>
                <w:b/>
                <w:bCs/>
                <w:w w:val="85"/>
                <w:sz w:val="22"/>
              </w:rPr>
            </w:pPr>
          </w:p>
        </w:tc>
        <w:tc>
          <w:tcPr>
            <w:tcW w:w="4365" w:type="dxa"/>
            <w:tcBorders>
              <w:top w:val="nil"/>
              <w:left w:val="nil"/>
              <w:bottom w:val="nil"/>
              <w:right w:val="nil"/>
            </w:tcBorders>
            <w:shd w:val="clear" w:color="auto" w:fill="DFDFDF"/>
            <w:tcMar>
              <w:top w:w="28" w:type="dxa"/>
              <w:left w:w="28" w:type="dxa"/>
              <w:bottom w:w="28" w:type="dxa"/>
              <w:right w:w="28" w:type="dxa"/>
            </w:tcMar>
            <w:vAlign w:val="center"/>
            <w:hideMark/>
          </w:tcPr>
          <w:p w14:paraId="792D0610" w14:textId="34B17510" w:rsidR="00E0646A" w:rsidRPr="003C2A5D" w:rsidRDefault="0035008B" w:rsidP="0035008B">
            <w:pPr>
              <w:spacing w:after="0" w:line="240" w:lineRule="auto"/>
              <w:ind w:firstLineChars="100" w:firstLine="198"/>
              <w:rPr>
                <w:rFonts w:ascii="함초롬돋움" w:eastAsia="함초롬돋움" w:hAnsi="함초롬돋움" w:cs="함초롬돋움"/>
                <w:b/>
                <w:bCs/>
                <w:w w:val="85"/>
                <w:sz w:val="24"/>
                <w:szCs w:val="24"/>
              </w:rPr>
            </w:pPr>
            <w:r w:rsidRPr="0035008B">
              <w:rPr>
                <w:rFonts w:ascii="함초롬돋움" w:eastAsia="함초롬돋움" w:hAnsi="함초롬돋움" w:cs="함초롬돋움" w:hint="eastAsia"/>
                <w:b/>
                <w:bCs/>
                <w:w w:val="85"/>
                <w:sz w:val="24"/>
                <w:szCs w:val="24"/>
              </w:rPr>
              <w:t>Conclusion</w:t>
            </w:r>
          </w:p>
        </w:tc>
      </w:tr>
    </w:tbl>
    <w:p w14:paraId="45B38044" w14:textId="77777777" w:rsidR="0035008B" w:rsidRPr="0035008B" w:rsidRDefault="0035008B" w:rsidP="0035008B">
      <w:pPr>
        <w:spacing w:after="0" w:line="240" w:lineRule="auto"/>
        <w:rPr>
          <w:rFonts w:ascii="함초롬바탕" w:eastAsia="함초롬바탕" w:hAnsi="함초롬바탕" w:cs="함초롬바탕"/>
          <w:w w:val="85"/>
          <w:sz w:val="22"/>
        </w:rPr>
      </w:pPr>
      <w:r w:rsidRPr="0035008B">
        <w:rPr>
          <w:rFonts w:ascii="함초롬바탕" w:eastAsia="함초롬바탕" w:hAnsi="함초롬바탕" w:cs="함초롬바탕" w:hint="eastAsia"/>
          <w:w w:val="85"/>
          <w:sz w:val="22"/>
        </w:rPr>
        <w:t>This study compared and analyzed the regulatory frameworks for evaluating the radiological characteristics of nuclear power plant decommissioning in the United States, a leading nuclear power nation, and the International Atomic Energy Agency (IAEA).</w:t>
      </w:r>
    </w:p>
    <w:p w14:paraId="124C8500" w14:textId="77777777" w:rsidR="0035008B" w:rsidRPr="0035008B" w:rsidRDefault="0035008B" w:rsidP="0035008B">
      <w:pPr>
        <w:spacing w:after="0" w:line="240" w:lineRule="auto"/>
        <w:rPr>
          <w:rFonts w:ascii="함초롬바탕" w:eastAsia="함초롬바탕" w:hAnsi="함초롬바탕" w:cs="함초롬바탕"/>
          <w:w w:val="85"/>
          <w:sz w:val="22"/>
        </w:rPr>
      </w:pPr>
    </w:p>
    <w:p w14:paraId="1C9711BE" w14:textId="77777777" w:rsidR="0035008B" w:rsidRPr="0035008B" w:rsidRDefault="0035008B" w:rsidP="0035008B">
      <w:pPr>
        <w:spacing w:after="0" w:line="240" w:lineRule="auto"/>
        <w:rPr>
          <w:rFonts w:ascii="함초롬바탕" w:eastAsia="함초롬바탕" w:hAnsi="함초롬바탕" w:cs="함초롬바탕"/>
          <w:w w:val="85"/>
          <w:sz w:val="22"/>
        </w:rPr>
      </w:pPr>
      <w:r w:rsidRPr="0035008B">
        <w:rPr>
          <w:rFonts w:ascii="함초롬바탕" w:eastAsia="함초롬바탕" w:hAnsi="함초롬바탕" w:cs="함초롬바탕" w:hint="eastAsia"/>
          <w:w w:val="85"/>
          <w:sz w:val="22"/>
        </w:rPr>
        <w:t xml:space="preserve">The IAEA focuses on requirements for safe decommissioning rather than on a nation's experience or characteristics, and thus includes decommissioning plans in its licensing procedures. In contrast, the United States grants discretion to </w:t>
      </w:r>
      <w:r w:rsidRPr="0035008B">
        <w:rPr>
          <w:rFonts w:ascii="함초롬바탕" w:eastAsia="함초롬바탕" w:hAnsi="함초롬바탕" w:cs="함초롬바탕" w:hint="eastAsia"/>
          <w:w w:val="85"/>
          <w:sz w:val="22"/>
        </w:rPr>
        <w:t>operators regarding decommissioning plans and limits licensing to only the final radiological evaluation prior to site opening, thereby reducing unnecessary requirements and providing regulatory flexibility.</w:t>
      </w:r>
    </w:p>
    <w:p w14:paraId="6A905719" w14:textId="77777777" w:rsidR="0035008B" w:rsidRPr="0035008B" w:rsidRDefault="0035008B" w:rsidP="0035008B">
      <w:pPr>
        <w:spacing w:after="0" w:line="240" w:lineRule="auto"/>
        <w:rPr>
          <w:rFonts w:ascii="함초롬바탕" w:eastAsia="함초롬바탕" w:hAnsi="함초롬바탕" w:cs="함초롬바탕"/>
          <w:w w:val="85"/>
          <w:sz w:val="22"/>
        </w:rPr>
      </w:pPr>
    </w:p>
    <w:p w14:paraId="3E6A5950" w14:textId="3DD11A54" w:rsidR="0035008B" w:rsidRDefault="0035008B" w:rsidP="0035008B">
      <w:pPr>
        <w:spacing w:after="0" w:line="240" w:lineRule="auto"/>
        <w:rPr>
          <w:rFonts w:ascii="함초롬바탕" w:eastAsia="함초롬바탕" w:hAnsi="함초롬바탕" w:cs="함초롬바탕"/>
          <w:w w:val="85"/>
          <w:sz w:val="22"/>
        </w:rPr>
      </w:pPr>
      <w:r w:rsidRPr="0035008B">
        <w:rPr>
          <w:rFonts w:ascii="함초롬바탕" w:eastAsia="함초롬바탕" w:hAnsi="함초롬바탕" w:cs="함초롬바탕" w:hint="eastAsia"/>
          <w:w w:val="85"/>
          <w:sz w:val="22"/>
        </w:rPr>
        <w:t>Since Korea currently lacks experience in nuclear power plant decommissioning, it follows the IAEA's regulatory framework, which requires decommissioning plans as licensing documents. However, once decommissioning experience and the expertise of regulatory personnel are secured in the future, adopting a flexible regulatory framework similar to that of the United States could be a viable option.</w:t>
      </w:r>
    </w:p>
    <w:p w14:paraId="19EBDE63" w14:textId="1CFE18BD" w:rsidR="0035008B" w:rsidRPr="0035008B" w:rsidRDefault="0035008B" w:rsidP="0035008B">
      <w:pPr>
        <w:spacing w:after="0" w:line="240" w:lineRule="auto"/>
        <w:rPr>
          <w:rFonts w:ascii="함초롬바탕" w:eastAsia="함초롬바탕" w:hAnsi="함초롬바탕" w:cs="함초롬바탕"/>
          <w:w w:val="85"/>
          <w:sz w:val="22"/>
        </w:rPr>
      </w:pPr>
      <w:r>
        <w:rPr>
          <w:rFonts w:ascii="함초롬바탕" w:eastAsia="함초롬바탕" w:hAnsi="함초롬바탕" w:cs="함초롬바탕"/>
          <w:w w:val="85"/>
          <w:sz w:val="22"/>
        </w:rPr>
        <w:t>…………………..</w:t>
      </w:r>
    </w:p>
    <w:p w14:paraId="4AF93B25" w14:textId="1AB24FFE" w:rsidR="00E0646A" w:rsidRPr="0035008B" w:rsidRDefault="00E0646A" w:rsidP="00C27BC4">
      <w:pPr>
        <w:spacing w:after="0" w:line="240" w:lineRule="auto"/>
        <w:rPr>
          <w:rFonts w:ascii="함초롬바탕" w:eastAsia="함초롬바탕" w:hAnsi="함초롬바탕" w:cs="함초롬바탕"/>
          <w:w w:val="85"/>
          <w:sz w:val="22"/>
        </w:rPr>
      </w:pPr>
    </w:p>
    <w:p w14:paraId="565EE450" w14:textId="77777777" w:rsidR="00E0646A" w:rsidRPr="003C2A5D" w:rsidRDefault="00E0646A" w:rsidP="00C27BC4">
      <w:pPr>
        <w:spacing w:after="0" w:line="240" w:lineRule="auto"/>
        <w:rPr>
          <w:rFonts w:ascii="함초롬바탕" w:eastAsia="함초롬바탕" w:hAnsi="함초롬바탕" w:cs="함초롬바탕"/>
          <w:w w:val="85"/>
          <w:sz w:val="22"/>
        </w:rPr>
      </w:pPr>
    </w:p>
    <w:p w14:paraId="73E324D0" w14:textId="77777777" w:rsidR="0035008B" w:rsidRPr="0035008B" w:rsidRDefault="0035008B" w:rsidP="0035008B">
      <w:pPr>
        <w:spacing w:after="0" w:line="240" w:lineRule="auto"/>
        <w:jc w:val="center"/>
        <w:rPr>
          <w:rFonts w:ascii="함초롬바탕" w:eastAsia="함초롬바탕" w:hAnsi="함초롬바탕" w:cs="함초롬바탕"/>
          <w:w w:val="85"/>
          <w:sz w:val="22"/>
        </w:rPr>
      </w:pPr>
      <w:r w:rsidRPr="0035008B">
        <w:rPr>
          <w:rFonts w:ascii="함초롬바탕" w:eastAsia="함초롬바탕" w:hAnsi="함초롬바탕" w:cs="함초롬바탕" w:hint="eastAsia"/>
          <w:w w:val="85"/>
          <w:sz w:val="22"/>
        </w:rPr>
        <w:t>Acknowledgments</w:t>
      </w:r>
    </w:p>
    <w:p w14:paraId="2196E602" w14:textId="77777777" w:rsidR="00E0646A" w:rsidRPr="003C2A5D" w:rsidRDefault="00E0646A" w:rsidP="00C27BC4">
      <w:pPr>
        <w:spacing w:after="0" w:line="240" w:lineRule="auto"/>
        <w:rPr>
          <w:rFonts w:ascii="함초롬바탕" w:eastAsia="함초롬바탕" w:hAnsi="함초롬바탕" w:cs="함초롬바탕"/>
          <w:w w:val="85"/>
          <w:sz w:val="22"/>
        </w:rPr>
      </w:pPr>
    </w:p>
    <w:p w14:paraId="3E7AC43E" w14:textId="77777777" w:rsidR="0035008B" w:rsidRPr="0035008B" w:rsidRDefault="003C2A5D" w:rsidP="0035008B">
      <w:p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 xml:space="preserve"> </w:t>
      </w:r>
      <w:r w:rsidR="0035008B" w:rsidRPr="0035008B">
        <w:rPr>
          <w:rFonts w:ascii="함초롬바탕" w:eastAsia="함초롬바탕" w:hAnsi="함초롬바탕" w:cs="함초롬바탕" w:hint="eastAsia"/>
          <w:w w:val="85"/>
          <w:sz w:val="22"/>
        </w:rPr>
        <w:t>This study was conducted as part of the nuclear safety research project organized by the Nuclear Safety and Security Commission.</w:t>
      </w:r>
    </w:p>
    <w:p w14:paraId="3502AC66" w14:textId="06C7469C" w:rsidR="00E0646A" w:rsidRPr="0035008B" w:rsidRDefault="00E0646A" w:rsidP="00C27BC4">
      <w:pPr>
        <w:spacing w:after="0" w:line="240" w:lineRule="auto"/>
        <w:rPr>
          <w:rFonts w:ascii="함초롬바탕" w:eastAsia="함초롬바탕" w:hAnsi="함초롬바탕" w:cs="함초롬바탕"/>
          <w:w w:val="85"/>
          <w:sz w:val="22"/>
        </w:rPr>
      </w:pPr>
    </w:p>
    <w:p w14:paraId="429C9E72" w14:textId="7DB8A097" w:rsidR="00E0646A" w:rsidRPr="003C2A5D" w:rsidRDefault="00E0646A" w:rsidP="00C27BC4">
      <w:pPr>
        <w:spacing w:after="0" w:line="240" w:lineRule="auto"/>
        <w:rPr>
          <w:rFonts w:ascii="함초롬바탕" w:eastAsia="함초롬바탕" w:hAnsi="함초롬바탕" w:cs="함초롬바탕"/>
          <w:w w:val="85"/>
          <w:sz w:val="22"/>
        </w:rPr>
      </w:pPr>
    </w:p>
    <w:p w14:paraId="3694A852" w14:textId="77777777" w:rsidR="0035008B" w:rsidRPr="0035008B" w:rsidRDefault="0035008B" w:rsidP="0035008B">
      <w:pPr>
        <w:spacing w:after="0" w:line="240" w:lineRule="auto"/>
        <w:jc w:val="center"/>
        <w:rPr>
          <w:rFonts w:ascii="함초롬바탕" w:eastAsia="함초롬바탕" w:hAnsi="함초롬바탕" w:cs="함초롬바탕"/>
          <w:w w:val="85"/>
          <w:sz w:val="22"/>
        </w:rPr>
      </w:pPr>
      <w:r w:rsidRPr="0035008B">
        <w:rPr>
          <w:rFonts w:ascii="함초롬바탕" w:eastAsia="함초롬바탕" w:hAnsi="함초롬바탕" w:cs="함초롬바탕" w:hint="eastAsia"/>
          <w:w w:val="85"/>
          <w:sz w:val="22"/>
        </w:rPr>
        <w:t>References</w:t>
      </w:r>
    </w:p>
    <w:p w14:paraId="3450E455" w14:textId="77777777" w:rsidR="00E0646A" w:rsidRPr="003C2A5D" w:rsidRDefault="00E0646A" w:rsidP="00C27BC4">
      <w:pPr>
        <w:spacing w:after="0" w:line="240" w:lineRule="auto"/>
        <w:rPr>
          <w:rFonts w:ascii="함초롬바탕" w:eastAsia="함초롬바탕" w:hAnsi="함초롬바탕" w:cs="함초롬바탕"/>
          <w:w w:val="85"/>
          <w:sz w:val="22"/>
        </w:rPr>
      </w:pPr>
    </w:p>
    <w:p w14:paraId="1E545CDC" w14:textId="20B78062" w:rsidR="00E0646A" w:rsidRPr="003C2A5D" w:rsidRDefault="00E0646A" w:rsidP="00C27BC4">
      <w:pPr>
        <w:pStyle w:val="a6"/>
        <w:numPr>
          <w:ilvl w:val="0"/>
          <w:numId w:val="1"/>
        </w:numPr>
        <w:spacing w:after="0" w:line="240" w:lineRule="auto"/>
        <w:ind w:leftChars="0"/>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IAEA, "Radiological Characterization of Shut Down Nuclear Reactors for Decommissioning Purposes," Technical Report Series No. 389(1998)</w:t>
      </w:r>
    </w:p>
    <w:p w14:paraId="1A0D159B" w14:textId="58FC980B" w:rsidR="006A08F4" w:rsidRPr="003C2A5D" w:rsidRDefault="00E0646A" w:rsidP="00C27BC4">
      <w:pPr>
        <w:numPr>
          <w:ilvl w:val="0"/>
          <w:numId w:val="1"/>
        </w:num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NRC, "Technology, Safety and Costs of Decommissioning a Reference Pressurized Water Reactor Power Station," vol.1, NUREG/CR-0130(1978)</w:t>
      </w:r>
    </w:p>
    <w:sectPr w:rsidR="006A08F4" w:rsidRPr="003C2A5D" w:rsidSect="008E26D5">
      <w:pgSz w:w="11906" w:h="16838" w:code="9"/>
      <w:pgMar w:top="1247" w:right="1247" w:bottom="1077" w:left="1247" w:header="794" w:footer="567"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FF538" w14:textId="77777777" w:rsidR="00D43442" w:rsidRDefault="00D43442" w:rsidP="000A12E4">
      <w:pPr>
        <w:spacing w:after="0" w:line="240" w:lineRule="auto"/>
      </w:pPr>
      <w:r>
        <w:separator/>
      </w:r>
    </w:p>
  </w:endnote>
  <w:endnote w:type="continuationSeparator" w:id="0">
    <w:p w14:paraId="4987F9FC" w14:textId="77777777" w:rsidR="00D43442" w:rsidRDefault="00D43442" w:rsidP="000A1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함초롬바탕">
    <w:panose1 w:val="02030604000101010101"/>
    <w:charset w:val="81"/>
    <w:family w:val="modern"/>
    <w:pitch w:val="variable"/>
    <w:sig w:usb0="F7002EFF" w:usb1="19DFFFFF" w:usb2="001BFDD7" w:usb3="00000000" w:csb0="001F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HY태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돋움체">
    <w:panose1 w:val="020B0609000101010101"/>
    <w:charset w:val="81"/>
    <w:family w:val="modern"/>
    <w:pitch w:val="fixed"/>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1FF" w:csb1="00000000"/>
  </w:font>
  <w:font w:name="신명조">
    <w:altName w:val="바탕"/>
    <w:panose1 w:val="00000000000000000000"/>
    <w:charset w:val="81"/>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8A545" w14:textId="77777777" w:rsidR="00D43442" w:rsidRDefault="00D43442" w:rsidP="000A12E4">
      <w:pPr>
        <w:spacing w:after="0" w:line="240" w:lineRule="auto"/>
      </w:pPr>
      <w:r>
        <w:separator/>
      </w:r>
    </w:p>
  </w:footnote>
  <w:footnote w:type="continuationSeparator" w:id="0">
    <w:p w14:paraId="0726F021" w14:textId="77777777" w:rsidR="00D43442" w:rsidRDefault="00D43442" w:rsidP="000A12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241F9"/>
    <w:multiLevelType w:val="multilevel"/>
    <w:tmpl w:val="55E0F0CA"/>
    <w:lvl w:ilvl="0">
      <w:start w:val="1"/>
      <w:numFmt w:val="decimal"/>
      <w:suff w:val="space"/>
      <w:lvlText w:val="%1."/>
      <w:lvlJc w:val="left"/>
      <w:pPr>
        <w:ind w:left="0" w:firstLine="0"/>
      </w:pPr>
      <w:rPr>
        <w:rFonts w:ascii="함초롬바탕" w:eastAsia="함초롬바탕" w:hAnsi="함초롬바탕" w:cs="함초롬바탕" w:hint="eastAsia"/>
      </w:rPr>
    </w:lvl>
    <w:lvl w:ilvl="1">
      <w:start w:val="1"/>
      <w:numFmt w:val="ganada"/>
      <w:suff w:val="space"/>
      <w:lvlText w:val="%2."/>
      <w:lvlJc w:val="left"/>
      <w:pPr>
        <w:ind w:left="0" w:firstLine="0"/>
      </w:pPr>
      <w:rPr>
        <w:rFonts w:hint="eastAsia"/>
      </w:rPr>
    </w:lvl>
    <w:lvl w:ilvl="2">
      <w:start w:val="1"/>
      <w:numFmt w:val="decimal"/>
      <w:suff w:val="space"/>
      <w:lvlText w:val="%3)"/>
      <w:lvlJc w:val="left"/>
      <w:pPr>
        <w:ind w:left="0" w:firstLine="0"/>
      </w:pPr>
      <w:rPr>
        <w:rFonts w:hint="eastAsia"/>
      </w:rPr>
    </w:lvl>
    <w:lvl w:ilvl="3">
      <w:start w:val="1"/>
      <w:numFmt w:val="ganada"/>
      <w:suff w:val="space"/>
      <w:lvlText w:val="%4)"/>
      <w:lvlJc w:val="left"/>
      <w:pPr>
        <w:ind w:left="0" w:firstLine="0"/>
      </w:pPr>
      <w:rPr>
        <w:rFonts w:hint="eastAsia"/>
      </w:rPr>
    </w:lvl>
    <w:lvl w:ilvl="4">
      <w:start w:val="1"/>
      <w:numFmt w:val="decimal"/>
      <w:suff w:val="space"/>
      <w:lvlText w:val="(%5)"/>
      <w:lvlJc w:val="left"/>
      <w:pPr>
        <w:ind w:left="0" w:firstLine="0"/>
      </w:pPr>
      <w:rPr>
        <w:rFonts w:hint="eastAsia"/>
      </w:rPr>
    </w:lvl>
    <w:lvl w:ilvl="5">
      <w:start w:val="1"/>
      <w:numFmt w:val="ganada"/>
      <w:suff w:val="space"/>
      <w:lvlText w:val="(%6)"/>
      <w:lvlJc w:val="left"/>
      <w:pPr>
        <w:ind w:left="0" w:firstLine="0"/>
      </w:pPr>
      <w:rPr>
        <w:rFonts w:hint="eastAsia"/>
      </w:rPr>
    </w:lvl>
    <w:lvl w:ilvl="6">
      <w:start w:val="1"/>
      <w:numFmt w:val="decimalEnclosedCircle"/>
      <w:suff w:val="space"/>
      <w:lvlText w:val="%7"/>
      <w:lvlJc w:val="left"/>
      <w:pPr>
        <w:ind w:left="0" w:firstLine="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autoHyphenation/>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7C3"/>
    <w:rsid w:val="00026F6E"/>
    <w:rsid w:val="00053B98"/>
    <w:rsid w:val="000A12E4"/>
    <w:rsid w:val="000E7E06"/>
    <w:rsid w:val="001237C3"/>
    <w:rsid w:val="001B345F"/>
    <w:rsid w:val="0035008B"/>
    <w:rsid w:val="003B723B"/>
    <w:rsid w:val="003C2A5D"/>
    <w:rsid w:val="00411CB1"/>
    <w:rsid w:val="004B1B9D"/>
    <w:rsid w:val="005776F6"/>
    <w:rsid w:val="00627135"/>
    <w:rsid w:val="00676B0B"/>
    <w:rsid w:val="006A08F4"/>
    <w:rsid w:val="008E26D5"/>
    <w:rsid w:val="00970627"/>
    <w:rsid w:val="00981B30"/>
    <w:rsid w:val="009A0689"/>
    <w:rsid w:val="009F2A6C"/>
    <w:rsid w:val="00BB4C22"/>
    <w:rsid w:val="00C25A1E"/>
    <w:rsid w:val="00C27BC4"/>
    <w:rsid w:val="00CD7ADA"/>
    <w:rsid w:val="00CF2CFD"/>
    <w:rsid w:val="00D43442"/>
    <w:rsid w:val="00DC095E"/>
    <w:rsid w:val="00E0646A"/>
    <w:rsid w:val="00FB10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8EBA3"/>
  <w15:chartTrackingRefBased/>
  <w15:docId w15:val="{4E8FE670-0390-48E7-8C42-2C7B43C9D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중심어"/>
    <w:basedOn w:val="a"/>
    <w:rsid w:val="00CF2CFD"/>
    <w:pPr>
      <w:wordWrap/>
      <w:snapToGrid w:val="0"/>
      <w:spacing w:after="0" w:line="312" w:lineRule="auto"/>
      <w:jc w:val="left"/>
      <w:textAlignment w:val="baseline"/>
    </w:pPr>
    <w:rPr>
      <w:rFonts w:ascii="HY태명조" w:eastAsia="굴림" w:hAnsi="굴림" w:cs="굴림"/>
      <w:color w:val="000000"/>
      <w:w w:val="90"/>
      <w:kern w:val="0"/>
      <w:sz w:val="18"/>
      <w:szCs w:val="18"/>
    </w:rPr>
  </w:style>
  <w:style w:type="paragraph" w:styleId="a4">
    <w:name w:val="header"/>
    <w:basedOn w:val="a"/>
    <w:link w:val="Char"/>
    <w:uiPriority w:val="99"/>
    <w:unhideWhenUsed/>
    <w:rsid w:val="000A12E4"/>
    <w:pPr>
      <w:tabs>
        <w:tab w:val="center" w:pos="4513"/>
        <w:tab w:val="right" w:pos="9026"/>
      </w:tabs>
      <w:snapToGrid w:val="0"/>
    </w:pPr>
  </w:style>
  <w:style w:type="character" w:customStyle="1" w:styleId="Char">
    <w:name w:val="머리글 Char"/>
    <w:basedOn w:val="a0"/>
    <w:link w:val="a4"/>
    <w:uiPriority w:val="99"/>
    <w:rsid w:val="000A12E4"/>
  </w:style>
  <w:style w:type="paragraph" w:styleId="a5">
    <w:name w:val="footer"/>
    <w:basedOn w:val="a"/>
    <w:link w:val="Char0"/>
    <w:uiPriority w:val="99"/>
    <w:unhideWhenUsed/>
    <w:rsid w:val="000A12E4"/>
    <w:pPr>
      <w:tabs>
        <w:tab w:val="center" w:pos="4513"/>
        <w:tab w:val="right" w:pos="9026"/>
      </w:tabs>
      <w:snapToGrid w:val="0"/>
    </w:pPr>
  </w:style>
  <w:style w:type="character" w:customStyle="1" w:styleId="Char0">
    <w:name w:val="바닥글 Char"/>
    <w:basedOn w:val="a0"/>
    <w:link w:val="a5"/>
    <w:uiPriority w:val="99"/>
    <w:rsid w:val="000A12E4"/>
  </w:style>
  <w:style w:type="paragraph" w:styleId="a6">
    <w:name w:val="List Paragraph"/>
    <w:basedOn w:val="a"/>
    <w:uiPriority w:val="34"/>
    <w:qFormat/>
    <w:rsid w:val="00C25A1E"/>
    <w:pPr>
      <w:ind w:leftChars="400" w:left="800"/>
    </w:pPr>
  </w:style>
  <w:style w:type="paragraph" w:customStyle="1" w:styleId="a7">
    <w:name w:val="바탕글"/>
    <w:basedOn w:val="a"/>
    <w:rsid w:val="00DC095E"/>
    <w:pPr>
      <w:snapToGrid w:val="0"/>
      <w:spacing w:after="0" w:line="384" w:lineRule="auto"/>
      <w:textAlignment w:val="baseline"/>
    </w:pPr>
    <w:rPr>
      <w:rFonts w:ascii="한양신명조"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0808">
      <w:bodyDiv w:val="1"/>
      <w:marLeft w:val="0"/>
      <w:marRight w:val="0"/>
      <w:marTop w:val="0"/>
      <w:marBottom w:val="0"/>
      <w:divBdr>
        <w:top w:val="none" w:sz="0" w:space="0" w:color="auto"/>
        <w:left w:val="none" w:sz="0" w:space="0" w:color="auto"/>
        <w:bottom w:val="none" w:sz="0" w:space="0" w:color="auto"/>
        <w:right w:val="none" w:sz="0" w:space="0" w:color="auto"/>
      </w:divBdr>
    </w:div>
    <w:div w:id="38482214">
      <w:bodyDiv w:val="1"/>
      <w:marLeft w:val="0"/>
      <w:marRight w:val="0"/>
      <w:marTop w:val="0"/>
      <w:marBottom w:val="0"/>
      <w:divBdr>
        <w:top w:val="none" w:sz="0" w:space="0" w:color="auto"/>
        <w:left w:val="none" w:sz="0" w:space="0" w:color="auto"/>
        <w:bottom w:val="none" w:sz="0" w:space="0" w:color="auto"/>
        <w:right w:val="none" w:sz="0" w:space="0" w:color="auto"/>
      </w:divBdr>
    </w:div>
    <w:div w:id="133833450">
      <w:bodyDiv w:val="1"/>
      <w:marLeft w:val="0"/>
      <w:marRight w:val="0"/>
      <w:marTop w:val="0"/>
      <w:marBottom w:val="0"/>
      <w:divBdr>
        <w:top w:val="none" w:sz="0" w:space="0" w:color="auto"/>
        <w:left w:val="none" w:sz="0" w:space="0" w:color="auto"/>
        <w:bottom w:val="none" w:sz="0" w:space="0" w:color="auto"/>
        <w:right w:val="none" w:sz="0" w:space="0" w:color="auto"/>
      </w:divBdr>
    </w:div>
    <w:div w:id="665937203">
      <w:bodyDiv w:val="1"/>
      <w:marLeft w:val="0"/>
      <w:marRight w:val="0"/>
      <w:marTop w:val="0"/>
      <w:marBottom w:val="0"/>
      <w:divBdr>
        <w:top w:val="none" w:sz="0" w:space="0" w:color="auto"/>
        <w:left w:val="none" w:sz="0" w:space="0" w:color="auto"/>
        <w:bottom w:val="none" w:sz="0" w:space="0" w:color="auto"/>
        <w:right w:val="none" w:sz="0" w:space="0" w:color="auto"/>
      </w:divBdr>
    </w:div>
    <w:div w:id="765686871">
      <w:bodyDiv w:val="1"/>
      <w:marLeft w:val="0"/>
      <w:marRight w:val="0"/>
      <w:marTop w:val="0"/>
      <w:marBottom w:val="0"/>
      <w:divBdr>
        <w:top w:val="none" w:sz="0" w:space="0" w:color="auto"/>
        <w:left w:val="none" w:sz="0" w:space="0" w:color="auto"/>
        <w:bottom w:val="none" w:sz="0" w:space="0" w:color="auto"/>
        <w:right w:val="none" w:sz="0" w:space="0" w:color="auto"/>
      </w:divBdr>
    </w:div>
    <w:div w:id="833688509">
      <w:bodyDiv w:val="1"/>
      <w:marLeft w:val="0"/>
      <w:marRight w:val="0"/>
      <w:marTop w:val="0"/>
      <w:marBottom w:val="0"/>
      <w:divBdr>
        <w:top w:val="none" w:sz="0" w:space="0" w:color="auto"/>
        <w:left w:val="none" w:sz="0" w:space="0" w:color="auto"/>
        <w:bottom w:val="none" w:sz="0" w:space="0" w:color="auto"/>
        <w:right w:val="none" w:sz="0" w:space="0" w:color="auto"/>
      </w:divBdr>
    </w:div>
    <w:div w:id="915165136">
      <w:bodyDiv w:val="1"/>
      <w:marLeft w:val="0"/>
      <w:marRight w:val="0"/>
      <w:marTop w:val="0"/>
      <w:marBottom w:val="0"/>
      <w:divBdr>
        <w:top w:val="none" w:sz="0" w:space="0" w:color="auto"/>
        <w:left w:val="none" w:sz="0" w:space="0" w:color="auto"/>
        <w:bottom w:val="none" w:sz="0" w:space="0" w:color="auto"/>
        <w:right w:val="none" w:sz="0" w:space="0" w:color="auto"/>
      </w:divBdr>
    </w:div>
    <w:div w:id="946426240">
      <w:bodyDiv w:val="1"/>
      <w:marLeft w:val="0"/>
      <w:marRight w:val="0"/>
      <w:marTop w:val="0"/>
      <w:marBottom w:val="0"/>
      <w:divBdr>
        <w:top w:val="none" w:sz="0" w:space="0" w:color="auto"/>
        <w:left w:val="none" w:sz="0" w:space="0" w:color="auto"/>
        <w:bottom w:val="none" w:sz="0" w:space="0" w:color="auto"/>
        <w:right w:val="none" w:sz="0" w:space="0" w:color="auto"/>
      </w:divBdr>
    </w:div>
    <w:div w:id="1012028014">
      <w:bodyDiv w:val="1"/>
      <w:marLeft w:val="0"/>
      <w:marRight w:val="0"/>
      <w:marTop w:val="0"/>
      <w:marBottom w:val="0"/>
      <w:divBdr>
        <w:top w:val="none" w:sz="0" w:space="0" w:color="auto"/>
        <w:left w:val="none" w:sz="0" w:space="0" w:color="auto"/>
        <w:bottom w:val="none" w:sz="0" w:space="0" w:color="auto"/>
        <w:right w:val="none" w:sz="0" w:space="0" w:color="auto"/>
      </w:divBdr>
    </w:div>
    <w:div w:id="1082027217">
      <w:bodyDiv w:val="1"/>
      <w:marLeft w:val="0"/>
      <w:marRight w:val="0"/>
      <w:marTop w:val="0"/>
      <w:marBottom w:val="0"/>
      <w:divBdr>
        <w:top w:val="none" w:sz="0" w:space="0" w:color="auto"/>
        <w:left w:val="none" w:sz="0" w:space="0" w:color="auto"/>
        <w:bottom w:val="none" w:sz="0" w:space="0" w:color="auto"/>
        <w:right w:val="none" w:sz="0" w:space="0" w:color="auto"/>
      </w:divBdr>
    </w:div>
    <w:div w:id="1219508963">
      <w:bodyDiv w:val="1"/>
      <w:marLeft w:val="0"/>
      <w:marRight w:val="0"/>
      <w:marTop w:val="0"/>
      <w:marBottom w:val="0"/>
      <w:divBdr>
        <w:top w:val="none" w:sz="0" w:space="0" w:color="auto"/>
        <w:left w:val="none" w:sz="0" w:space="0" w:color="auto"/>
        <w:bottom w:val="none" w:sz="0" w:space="0" w:color="auto"/>
        <w:right w:val="none" w:sz="0" w:space="0" w:color="auto"/>
      </w:divBdr>
    </w:div>
    <w:div w:id="1220631880">
      <w:bodyDiv w:val="1"/>
      <w:marLeft w:val="0"/>
      <w:marRight w:val="0"/>
      <w:marTop w:val="0"/>
      <w:marBottom w:val="0"/>
      <w:divBdr>
        <w:top w:val="none" w:sz="0" w:space="0" w:color="auto"/>
        <w:left w:val="none" w:sz="0" w:space="0" w:color="auto"/>
        <w:bottom w:val="none" w:sz="0" w:space="0" w:color="auto"/>
        <w:right w:val="none" w:sz="0" w:space="0" w:color="auto"/>
      </w:divBdr>
    </w:div>
    <w:div w:id="1299645913">
      <w:bodyDiv w:val="1"/>
      <w:marLeft w:val="0"/>
      <w:marRight w:val="0"/>
      <w:marTop w:val="0"/>
      <w:marBottom w:val="0"/>
      <w:divBdr>
        <w:top w:val="none" w:sz="0" w:space="0" w:color="auto"/>
        <w:left w:val="none" w:sz="0" w:space="0" w:color="auto"/>
        <w:bottom w:val="none" w:sz="0" w:space="0" w:color="auto"/>
        <w:right w:val="none" w:sz="0" w:space="0" w:color="auto"/>
      </w:divBdr>
    </w:div>
    <w:div w:id="1411731808">
      <w:bodyDiv w:val="1"/>
      <w:marLeft w:val="0"/>
      <w:marRight w:val="0"/>
      <w:marTop w:val="0"/>
      <w:marBottom w:val="0"/>
      <w:divBdr>
        <w:top w:val="none" w:sz="0" w:space="0" w:color="auto"/>
        <w:left w:val="none" w:sz="0" w:space="0" w:color="auto"/>
        <w:bottom w:val="none" w:sz="0" w:space="0" w:color="auto"/>
        <w:right w:val="none" w:sz="0" w:space="0" w:color="auto"/>
      </w:divBdr>
    </w:div>
    <w:div w:id="1511525061">
      <w:bodyDiv w:val="1"/>
      <w:marLeft w:val="0"/>
      <w:marRight w:val="0"/>
      <w:marTop w:val="0"/>
      <w:marBottom w:val="0"/>
      <w:divBdr>
        <w:top w:val="none" w:sz="0" w:space="0" w:color="auto"/>
        <w:left w:val="none" w:sz="0" w:space="0" w:color="auto"/>
        <w:bottom w:val="none" w:sz="0" w:space="0" w:color="auto"/>
        <w:right w:val="none" w:sz="0" w:space="0" w:color="auto"/>
      </w:divBdr>
    </w:div>
    <w:div w:id="1586303878">
      <w:bodyDiv w:val="1"/>
      <w:marLeft w:val="0"/>
      <w:marRight w:val="0"/>
      <w:marTop w:val="0"/>
      <w:marBottom w:val="0"/>
      <w:divBdr>
        <w:top w:val="none" w:sz="0" w:space="0" w:color="auto"/>
        <w:left w:val="none" w:sz="0" w:space="0" w:color="auto"/>
        <w:bottom w:val="none" w:sz="0" w:space="0" w:color="auto"/>
        <w:right w:val="none" w:sz="0" w:space="0" w:color="auto"/>
      </w:divBdr>
    </w:div>
    <w:div w:id="1633364202">
      <w:bodyDiv w:val="1"/>
      <w:marLeft w:val="0"/>
      <w:marRight w:val="0"/>
      <w:marTop w:val="0"/>
      <w:marBottom w:val="0"/>
      <w:divBdr>
        <w:top w:val="none" w:sz="0" w:space="0" w:color="auto"/>
        <w:left w:val="none" w:sz="0" w:space="0" w:color="auto"/>
        <w:bottom w:val="none" w:sz="0" w:space="0" w:color="auto"/>
        <w:right w:val="none" w:sz="0" w:space="0" w:color="auto"/>
      </w:divBdr>
    </w:div>
    <w:div w:id="1779838286">
      <w:bodyDiv w:val="1"/>
      <w:marLeft w:val="0"/>
      <w:marRight w:val="0"/>
      <w:marTop w:val="0"/>
      <w:marBottom w:val="0"/>
      <w:divBdr>
        <w:top w:val="none" w:sz="0" w:space="0" w:color="auto"/>
        <w:left w:val="none" w:sz="0" w:space="0" w:color="auto"/>
        <w:bottom w:val="none" w:sz="0" w:space="0" w:color="auto"/>
        <w:right w:val="none" w:sz="0" w:space="0" w:color="auto"/>
      </w:divBdr>
    </w:div>
    <w:div w:id="188501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650</Words>
  <Characters>3710</Characters>
  <Application>Microsoft Office Word</Application>
  <DocSecurity>0</DocSecurity>
  <Lines>30</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 방사선방어학회</dc:creator>
  <cp:keywords/>
  <dc:description/>
  <cp:lastModifiedBy>/KARP_사무국_실장 LEE. J.O</cp:lastModifiedBy>
  <cp:revision>3</cp:revision>
  <dcterms:created xsi:type="dcterms:W3CDTF">2026-05-12T03:57:00Z</dcterms:created>
  <dcterms:modified xsi:type="dcterms:W3CDTF">2026-05-12T04:13:00Z</dcterms:modified>
</cp:coreProperties>
</file>